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2F89" w14:textId="0663C09B" w:rsidR="00754A79" w:rsidRDefault="00ED217E" w:rsidP="00ED217E">
      <w:pPr>
        <w:rPr>
          <w:b/>
          <w:color w:val="FF0000"/>
          <w:sz w:val="28"/>
          <w:szCs w:val="28"/>
        </w:rPr>
      </w:pPr>
      <w:r w:rsidRPr="00ED217E">
        <w:rPr>
          <w:b/>
          <w:noProof/>
          <w:color w:val="FF0000"/>
          <w:sz w:val="28"/>
          <w:szCs w:val="28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B40227F" wp14:editId="6A34C4EE">
                <wp:simplePos x="0" y="0"/>
                <wp:positionH relativeFrom="margin">
                  <wp:posOffset>2552700</wp:posOffset>
                </wp:positionH>
                <wp:positionV relativeFrom="margin">
                  <wp:posOffset>-304165</wp:posOffset>
                </wp:positionV>
                <wp:extent cx="3566160" cy="1239521"/>
                <wp:effectExtent l="0" t="0" r="0" b="0"/>
                <wp:wrapSquare wrapText="bothSides"/>
                <wp:docPr id="198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239521"/>
                          <a:chOff x="0" y="0"/>
                          <a:chExt cx="3567448" cy="123926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0DA0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EF7468" w14:textId="77777777" w:rsidR="00ED217E" w:rsidRDefault="00ED217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0" y="252678"/>
                            <a:ext cx="3567448" cy="986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D6D0EF" w14:textId="77777777" w:rsidR="00ED217E" w:rsidRDefault="00ED217E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437BF6B5" w14:textId="7FD1C5F3" w:rsidR="00ED217E" w:rsidRPr="00182616" w:rsidRDefault="00182616">
                              <w:pPr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 xml:space="preserve">                                                                 </w:t>
                              </w:r>
                              <w:r w:rsidR="00ED217E" w:rsidRPr="00182616"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COMMUNICATION STYLES ACROSS CULTURES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0227F" id="Groupe 64" o:spid="_x0000_s1026" style="position:absolute;margin-left:201pt;margin-top:-23.95pt;width:280.8pt;height:97.6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" fillcolor="#0da0c5" stroked="f" strokeweight="1pt">
                  <v:textbox>
                    <w:txbxContent>
                      <w:p w14:paraId="64EF7468" w14:textId="77777777" w:rsidR="00ED217E" w:rsidRDefault="00ED217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top:2526;width:35674;height:9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34D6D0EF" w14:textId="77777777" w:rsidR="00ED217E" w:rsidRDefault="00ED217E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437BF6B5" w14:textId="7FD1C5F3" w:rsidR="00ED217E" w:rsidRPr="00182616" w:rsidRDefault="00182616">
                        <w:pPr>
                          <w:rPr>
                            <w:b/>
                            <w:bCs/>
                            <w:caps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002060"/>
                            <w:sz w:val="28"/>
                            <w:szCs w:val="28"/>
                          </w:rPr>
                          <w:t xml:space="preserve">                                                                 </w:t>
                        </w:r>
                        <w:r w:rsidR="00ED217E" w:rsidRPr="00182616">
                          <w:rPr>
                            <w:b/>
                            <w:bCs/>
                            <w:caps/>
                            <w:color w:val="002060"/>
                            <w:sz w:val="28"/>
                            <w:szCs w:val="28"/>
                          </w:rPr>
                          <w:t>COMMUNICATION STYLES ACROSS CULTURES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2E0F5321" wp14:editId="7366C2F8">
            <wp:extent cx="2077799" cy="1377950"/>
            <wp:effectExtent l="0" t="0" r="0" b="0"/>
            <wp:docPr id="6739848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84887" name="Image 6739848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104" cy="139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          </w:t>
      </w:r>
    </w:p>
    <w:p w14:paraId="4A8F4F5E" w14:textId="0843D691" w:rsidR="00A8078B" w:rsidRDefault="00ED217E" w:rsidP="00BF679A">
      <w:pPr>
        <w:jc w:val="center"/>
        <w:rPr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2D8B3166" wp14:editId="52D3F1A6">
            <wp:extent cx="3136900" cy="1657350"/>
            <wp:effectExtent l="0" t="0" r="6350" b="0"/>
            <wp:docPr id="8" name="Image 8" descr="Résultat de recherche d'images pour &quot;communication across cultures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communication across cultures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92" cy="168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3FFC6" w14:textId="77777777" w:rsidR="003B1F99" w:rsidRDefault="003B1F99" w:rsidP="00C66BC5">
      <w:pPr>
        <w:spacing w:after="300" w:line="240" w:lineRule="auto"/>
        <w:jc w:val="both"/>
        <w:rPr>
          <w:rFonts w:eastAsia="Times New Roman" w:cstheme="minorHAnsi"/>
          <w:color w:val="343434"/>
          <w:lang w:eastAsia="fr-FR"/>
        </w:rPr>
      </w:pPr>
    </w:p>
    <w:p w14:paraId="16E5B257" w14:textId="2B7C1BF3" w:rsidR="00E2220E" w:rsidRDefault="00E2220E" w:rsidP="00C66BC5">
      <w:pPr>
        <w:spacing w:after="300" w:line="240" w:lineRule="auto"/>
        <w:jc w:val="both"/>
        <w:rPr>
          <w:rFonts w:eastAsia="Times New Roman" w:cstheme="minorHAnsi"/>
          <w:color w:val="343434"/>
          <w:lang w:eastAsia="fr-FR"/>
        </w:rPr>
      </w:pPr>
      <w:r w:rsidRPr="008E5A88">
        <w:rPr>
          <w:rFonts w:eastAsia="Times New Roman" w:cstheme="minorHAnsi"/>
          <w:color w:val="343434"/>
          <w:lang w:eastAsia="fr-FR"/>
        </w:rPr>
        <w:t xml:space="preserve">Implicit and explicit styles of communications often lead to misunderstandings and miscommunications. Many </w:t>
      </w:r>
      <w:r w:rsidR="00A47A86">
        <w:rPr>
          <w:rFonts w:eastAsia="Times New Roman" w:cstheme="minorHAnsi"/>
          <w:color w:val="343434"/>
          <w:lang w:eastAsia="fr-FR"/>
        </w:rPr>
        <w:t>Western Cultures</w:t>
      </w:r>
      <w:r w:rsidRPr="008E5A88">
        <w:rPr>
          <w:rFonts w:eastAsia="Times New Roman" w:cstheme="minorHAnsi"/>
          <w:color w:val="343434"/>
          <w:lang w:eastAsia="fr-FR"/>
        </w:rPr>
        <w:t xml:space="preserve"> view a person who is being indirect as tricky, deceptive, and of questionable integrity. At best, Westerners consider indirect communication to be a waste of their time. On the other hand, those from implicit cultures see the explicit communication styles of</w:t>
      </w:r>
      <w:r>
        <w:rPr>
          <w:rFonts w:eastAsia="Times New Roman" w:cstheme="minorHAnsi"/>
          <w:color w:val="343434"/>
          <w:lang w:eastAsia="fr-FR"/>
        </w:rPr>
        <w:t xml:space="preserve"> </w:t>
      </w:r>
      <w:r w:rsidR="00A47A86">
        <w:rPr>
          <w:rFonts w:eastAsia="Times New Roman" w:cstheme="minorHAnsi"/>
          <w:color w:val="343434"/>
          <w:lang w:eastAsia="fr-FR"/>
        </w:rPr>
        <w:t>Westerners</w:t>
      </w:r>
      <w:r w:rsidRPr="008E5A88">
        <w:rPr>
          <w:rFonts w:eastAsia="Times New Roman" w:cstheme="minorHAnsi"/>
          <w:color w:val="343434"/>
          <w:lang w:eastAsia="fr-FR"/>
        </w:rPr>
        <w:t xml:space="preserve"> to be rude, coarse, and insensitive</w:t>
      </w:r>
      <w:r>
        <w:rPr>
          <w:rFonts w:eastAsia="Times New Roman" w:cstheme="minorHAnsi"/>
          <w:color w:val="343434"/>
          <w:lang w:eastAsia="fr-FR"/>
        </w:rPr>
        <w:t xml:space="preserve">. </w:t>
      </w:r>
    </w:p>
    <w:p w14:paraId="3F74909A" w14:textId="77777777" w:rsidR="003B1F99" w:rsidRPr="00C66BC5" w:rsidRDefault="003B1F99" w:rsidP="00C66BC5">
      <w:pPr>
        <w:spacing w:after="300" w:line="240" w:lineRule="auto"/>
        <w:jc w:val="both"/>
        <w:rPr>
          <w:rFonts w:eastAsia="Times New Roman" w:cstheme="minorHAnsi"/>
          <w:color w:val="343434"/>
          <w:lang w:eastAsia="fr-FR"/>
        </w:rPr>
      </w:pPr>
    </w:p>
    <w:p w14:paraId="63113799" w14:textId="7DFF8480" w:rsidR="006F62E9" w:rsidRPr="006F62E9" w:rsidRDefault="004772B2" w:rsidP="006F62E9">
      <w:pPr>
        <w:jc w:val="both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3E2A51EC" wp14:editId="67BDF8D2">
            <wp:extent cx="5669915" cy="3188335"/>
            <wp:effectExtent l="0" t="0" r="6985" b="0"/>
            <wp:docPr id="1845675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A9EDD" w14:textId="77777777" w:rsidR="003B1F99" w:rsidRDefault="003B1F99" w:rsidP="006F62E9">
      <w:pPr>
        <w:jc w:val="both"/>
        <w:rPr>
          <w:b/>
          <w:bCs/>
          <w:lang w:val="en-GB"/>
        </w:rPr>
      </w:pPr>
    </w:p>
    <w:p w14:paraId="77C4CBC2" w14:textId="77777777" w:rsidR="003B1F99" w:rsidRDefault="003B1F99" w:rsidP="006F62E9">
      <w:pPr>
        <w:jc w:val="both"/>
        <w:rPr>
          <w:b/>
          <w:bCs/>
          <w:lang w:val="en-GB"/>
        </w:rPr>
      </w:pPr>
    </w:p>
    <w:p w14:paraId="268EE03F" w14:textId="19E6D175" w:rsidR="006F62E9" w:rsidRPr="00A47A86" w:rsidRDefault="006F62E9" w:rsidP="006F62E9">
      <w:pPr>
        <w:jc w:val="both"/>
        <w:rPr>
          <w:b/>
          <w:bCs/>
          <w:color w:val="0DA0C5"/>
          <w:lang w:val="en-GB"/>
        </w:rPr>
      </w:pPr>
      <w:r w:rsidRPr="00A47A86">
        <w:rPr>
          <w:b/>
          <w:bCs/>
          <w:color w:val="0DA0C5"/>
          <w:lang w:val="en-GB"/>
        </w:rPr>
        <w:lastRenderedPageBreak/>
        <w:t xml:space="preserve">Implicit </w:t>
      </w:r>
      <w:r w:rsidRPr="00A47A86">
        <w:rPr>
          <w:b/>
          <w:bCs/>
          <w:color w:val="0DA0C5"/>
          <w:lang w:val="en-GB"/>
        </w:rPr>
        <w:tab/>
      </w:r>
      <w:r w:rsidR="006F0FD3" w:rsidRPr="00A47A86">
        <w:rPr>
          <w:b/>
          <w:bCs/>
          <w:color w:val="0DA0C5"/>
          <w:lang w:val="en-GB"/>
        </w:rPr>
        <w:t xml:space="preserve">                                                                                                                  </w:t>
      </w:r>
      <w:r w:rsidR="003B1F99" w:rsidRPr="00A47A86">
        <w:rPr>
          <w:b/>
          <w:bCs/>
          <w:color w:val="0DA0C5"/>
          <w:lang w:val="en-GB"/>
        </w:rPr>
        <w:t xml:space="preserve">                     </w:t>
      </w:r>
      <w:r w:rsidR="006F0FD3" w:rsidRPr="00A47A86">
        <w:rPr>
          <w:b/>
          <w:bCs/>
          <w:color w:val="0DA0C5"/>
          <w:lang w:val="en-GB"/>
        </w:rPr>
        <w:t xml:space="preserve"> </w:t>
      </w:r>
      <w:r w:rsidRPr="00A47A86">
        <w:rPr>
          <w:b/>
          <w:bCs/>
          <w:color w:val="0DA0C5"/>
          <w:lang w:val="en-GB"/>
        </w:rPr>
        <w:t>Explicit</w:t>
      </w:r>
    </w:p>
    <w:p w14:paraId="523D876F" w14:textId="4E1DBFCB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>___________________________________________________________________________</w:t>
      </w:r>
      <w:r w:rsidR="003B1F99" w:rsidRPr="00A47A86">
        <w:rPr>
          <w:b/>
          <w:bCs/>
          <w:color w:val="0DA0C5"/>
          <w:lang w:val="en-US"/>
        </w:rPr>
        <w:t>_______</w:t>
      </w:r>
    </w:p>
    <w:p w14:paraId="1D819028" w14:textId="61467639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 xml:space="preserve">1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2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3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4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5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6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7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8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9              </w:t>
      </w:r>
      <w:r w:rsidR="003B1F99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>10 </w:t>
      </w:r>
    </w:p>
    <w:tbl>
      <w:tblPr>
        <w:tblStyle w:val="Grilledutableau"/>
        <w:tblW w:w="10774" w:type="dxa"/>
        <w:tblInd w:w="-856" w:type="dxa"/>
        <w:tblLook w:val="01E0" w:firstRow="1" w:lastRow="1" w:firstColumn="1" w:lastColumn="1" w:noHBand="0" w:noVBand="0"/>
      </w:tblPr>
      <w:tblGrid>
        <w:gridCol w:w="5386"/>
        <w:gridCol w:w="5388"/>
      </w:tblGrid>
      <w:tr w:rsidR="006F62E9" w:rsidRPr="006F62E9" w14:paraId="06B147C2" w14:textId="77777777" w:rsidTr="00A47A86">
        <w:tc>
          <w:tcPr>
            <w:tcW w:w="5386" w:type="dxa"/>
            <w:shd w:val="clear" w:color="auto" w:fill="D5DCE4" w:themeFill="text2" w:themeFillTint="33"/>
          </w:tcPr>
          <w:p w14:paraId="0E84186A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Value behavior over words.</w:t>
            </w:r>
          </w:p>
        </w:tc>
        <w:tc>
          <w:tcPr>
            <w:tcW w:w="5388" w:type="dxa"/>
            <w:shd w:val="clear" w:color="auto" w:fill="D5DCE4" w:themeFill="text2" w:themeFillTint="33"/>
          </w:tcPr>
          <w:p w14:paraId="7CA951BA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Value words and documentation</w:t>
            </w:r>
          </w:p>
        </w:tc>
      </w:tr>
      <w:tr w:rsidR="006F62E9" w:rsidRPr="006F62E9" w14:paraId="2DD76DE2" w14:textId="77777777" w:rsidTr="00366B71">
        <w:tc>
          <w:tcPr>
            <w:tcW w:w="5386" w:type="dxa"/>
          </w:tcPr>
          <w:p w14:paraId="5A1A8244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Hold symbolism and propriety in high esteem</w:t>
            </w:r>
          </w:p>
        </w:tc>
        <w:tc>
          <w:tcPr>
            <w:tcW w:w="5388" w:type="dxa"/>
          </w:tcPr>
          <w:p w14:paraId="46044BA9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Use language pragmatically and with precision.</w:t>
            </w:r>
          </w:p>
        </w:tc>
      </w:tr>
      <w:tr w:rsidR="006F62E9" w:rsidRPr="006F62E9" w14:paraId="55F41D3B" w14:textId="77777777" w:rsidTr="00A47A86">
        <w:tc>
          <w:tcPr>
            <w:tcW w:w="5386" w:type="dxa"/>
            <w:shd w:val="clear" w:color="auto" w:fill="D5DCE4" w:themeFill="text2" w:themeFillTint="33"/>
          </w:tcPr>
          <w:p w14:paraId="3C9F48A0" w14:textId="5C77331F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Rely on non</w:t>
            </w:r>
            <w:r w:rsidR="00AE21A6">
              <w:rPr>
                <w:lang w:val="en-US"/>
              </w:rPr>
              <w:t>-</w:t>
            </w:r>
            <w:r w:rsidRPr="006F62E9">
              <w:rPr>
                <w:lang w:val="en-US"/>
              </w:rPr>
              <w:t>verbal and symbolic cues more than verbal and written cues.</w:t>
            </w:r>
            <w:r w:rsidR="00EE4B20">
              <w:rPr>
                <w:lang w:val="en-US"/>
              </w:rPr>
              <w:t xml:space="preserve"> Importance of “small talk”.</w:t>
            </w:r>
          </w:p>
        </w:tc>
        <w:tc>
          <w:tcPr>
            <w:tcW w:w="5388" w:type="dxa"/>
            <w:shd w:val="clear" w:color="auto" w:fill="D5DCE4" w:themeFill="text2" w:themeFillTint="33"/>
          </w:tcPr>
          <w:p w14:paraId="45B1ED94" w14:textId="07BD6AF0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View successful communication as being tied to the literal meaning of words.</w:t>
            </w:r>
            <w:r w:rsidR="00AB0822">
              <w:rPr>
                <w:lang w:val="en-US"/>
              </w:rPr>
              <w:t xml:space="preserve"> “Say what you mean” and “mean what you say”.</w:t>
            </w:r>
            <w:r w:rsidR="00DA354E">
              <w:rPr>
                <w:lang w:val="en-US"/>
              </w:rPr>
              <w:t xml:space="preserve"> Small talk is kept to a minimum.</w:t>
            </w:r>
          </w:p>
        </w:tc>
      </w:tr>
      <w:tr w:rsidR="006F62E9" w:rsidRPr="006F62E9" w14:paraId="4CC1DD81" w14:textId="77777777" w:rsidTr="00366B71">
        <w:tc>
          <w:tcPr>
            <w:tcW w:w="5386" w:type="dxa"/>
          </w:tcPr>
          <w:p w14:paraId="111251CE" w14:textId="0DD8557E" w:rsidR="006F62E9" w:rsidRPr="006F62E9" w:rsidRDefault="00221219" w:rsidP="006F62E9">
            <w:pPr>
              <w:spacing w:after="160" w:line="259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6F62E9" w:rsidRPr="006F62E9">
              <w:rPr>
                <w:lang w:val="en-US"/>
              </w:rPr>
              <w:t>ndirect and artful use of language.</w:t>
            </w:r>
            <w:r>
              <w:rPr>
                <w:lang w:val="en-US"/>
              </w:rPr>
              <w:t xml:space="preserve"> Communication is eloquent, nuanced and sophisticated.</w:t>
            </w:r>
            <w:r w:rsidR="0022253A">
              <w:rPr>
                <w:lang w:val="en-US"/>
              </w:rPr>
              <w:t xml:space="preserve"> Allegories, metaphors, similes and storytelling are values.</w:t>
            </w:r>
            <w:r>
              <w:rPr>
                <w:lang w:val="en-US"/>
              </w:rPr>
              <w:t xml:space="preserve"> Leaders are evaluated on their oratory skills</w:t>
            </w:r>
          </w:p>
        </w:tc>
        <w:tc>
          <w:tcPr>
            <w:tcW w:w="5388" w:type="dxa"/>
          </w:tcPr>
          <w:p w14:paraId="06D8F87F" w14:textId="7157AB87" w:rsidR="006F62E9" w:rsidRPr="006F62E9" w:rsidRDefault="00EE4B20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EE4B20">
              <w:rPr>
                <w:lang w:val="en-US"/>
              </w:rPr>
              <w:t>Value succinct messages that are to-the-point</w:t>
            </w:r>
            <w:r>
              <w:rPr>
                <w:lang w:val="en-US"/>
              </w:rPr>
              <w:t xml:space="preserve">. </w:t>
            </w:r>
            <w:r w:rsidRPr="00EE4B20">
              <w:rPr>
                <w:lang w:val="en-US"/>
              </w:rPr>
              <w:t>Good communication is precise, simple, explicit, accurate and clear.</w:t>
            </w:r>
          </w:p>
        </w:tc>
      </w:tr>
      <w:tr w:rsidR="006F62E9" w:rsidRPr="006F62E9" w14:paraId="3D09606F" w14:textId="77777777" w:rsidTr="00A47A86">
        <w:tc>
          <w:tcPr>
            <w:tcW w:w="5386" w:type="dxa"/>
            <w:shd w:val="clear" w:color="auto" w:fill="D5DCE4" w:themeFill="text2" w:themeFillTint="33"/>
          </w:tcPr>
          <w:p w14:paraId="445B6EA3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Require contextual information about those with whom you are communicating or conducting business.</w:t>
            </w:r>
          </w:p>
        </w:tc>
        <w:tc>
          <w:tcPr>
            <w:tcW w:w="5388" w:type="dxa"/>
            <w:shd w:val="clear" w:color="auto" w:fill="D5DCE4" w:themeFill="text2" w:themeFillTint="33"/>
          </w:tcPr>
          <w:p w14:paraId="02B035B7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Require little contextual information about those with whom you are communicating or conducting business.</w:t>
            </w:r>
          </w:p>
        </w:tc>
      </w:tr>
      <w:tr w:rsidR="006F62E9" w:rsidRPr="006F62E9" w14:paraId="2D66CF44" w14:textId="77777777" w:rsidTr="00366B71">
        <w:tc>
          <w:tcPr>
            <w:tcW w:w="5386" w:type="dxa"/>
          </w:tcPr>
          <w:p w14:paraId="2BC54996" w14:textId="6F4DBB6F" w:rsidR="006F62E9" w:rsidRPr="00752982" w:rsidRDefault="00752982" w:rsidP="006F62E9">
            <w:pPr>
              <w:spacing w:after="160" w:line="259" w:lineRule="auto"/>
              <w:jc w:val="both"/>
            </w:pPr>
            <w:r>
              <w:t>R</w:t>
            </w:r>
            <w:r w:rsidRPr="00752982">
              <w:t>ely heavily on hidden, implicit, contextual cues such as nonverbal behavior</w:t>
            </w:r>
            <w:r w:rsidR="00221219">
              <w:t xml:space="preserve"> (body language, tone of voice)</w:t>
            </w:r>
            <w:r w:rsidRPr="00752982">
              <w:t>, social context,</w:t>
            </w:r>
            <w:r w:rsidR="00A47A86">
              <w:t xml:space="preserve"> </w:t>
            </w:r>
            <w:r w:rsidRPr="00752982">
              <w:t>nature of interpersonal relationships</w:t>
            </w:r>
            <w:r w:rsidR="00367AFA">
              <w:t xml:space="preserve">, </w:t>
            </w:r>
            <w:r w:rsidR="00221219">
              <w:t xml:space="preserve">and </w:t>
            </w:r>
            <w:r w:rsidR="00367AFA">
              <w:t>status</w:t>
            </w:r>
          </w:p>
        </w:tc>
        <w:tc>
          <w:tcPr>
            <w:tcW w:w="5388" w:type="dxa"/>
          </w:tcPr>
          <w:p w14:paraId="4AA4C001" w14:textId="61E9F67C" w:rsidR="006F62E9" w:rsidRPr="006F62E9" w:rsidRDefault="00EE4B20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EE4B20">
              <w:rPr>
                <w:lang w:val="en-US"/>
              </w:rPr>
              <w:t>Oral communication is supported by detailed written documentation</w:t>
            </w:r>
            <w:r>
              <w:rPr>
                <w:lang w:val="en-US"/>
              </w:rPr>
              <w:t xml:space="preserve">. </w:t>
            </w:r>
          </w:p>
        </w:tc>
      </w:tr>
      <w:tr w:rsidR="007003D0" w:rsidRPr="006F62E9" w14:paraId="31FF326F" w14:textId="77777777" w:rsidTr="00A47A86">
        <w:trPr>
          <w:trHeight w:val="643"/>
        </w:trPr>
        <w:tc>
          <w:tcPr>
            <w:tcW w:w="5386" w:type="dxa"/>
            <w:shd w:val="clear" w:color="auto" w:fill="D5DCE4" w:themeFill="text2" w:themeFillTint="33"/>
          </w:tcPr>
          <w:p w14:paraId="4E86D09B" w14:textId="663DD6B5" w:rsidR="00367AFA" w:rsidRPr="000F6709" w:rsidRDefault="00221219" w:rsidP="006F62E9">
            <w:pPr>
              <w:jc w:val="both"/>
            </w:pPr>
            <w:r>
              <w:t>Less is put in writing, more is left to open interpretation (reading between the lines)</w:t>
            </w:r>
          </w:p>
        </w:tc>
        <w:tc>
          <w:tcPr>
            <w:tcW w:w="5388" w:type="dxa"/>
            <w:shd w:val="clear" w:color="auto" w:fill="D5DCE4" w:themeFill="text2" w:themeFillTint="33"/>
          </w:tcPr>
          <w:p w14:paraId="24FDA712" w14:textId="7F7C3045" w:rsidR="007003D0" w:rsidRPr="006F62E9" w:rsidRDefault="00752982" w:rsidP="006F62E9">
            <w:pPr>
              <w:jc w:val="both"/>
              <w:rPr>
                <w:lang w:val="en-US"/>
              </w:rPr>
            </w:pPr>
            <w:r w:rsidRPr="00752982">
              <w:rPr>
                <w:lang w:val="en-GB"/>
              </w:rPr>
              <w:t>Repetition is appreciated for purposes of clarification, as is putting messages in writing.</w:t>
            </w:r>
          </w:p>
        </w:tc>
      </w:tr>
      <w:tr w:rsidR="003A4F98" w:rsidRPr="006F62E9" w14:paraId="7F8D25DF" w14:textId="77777777" w:rsidTr="00366B71">
        <w:tc>
          <w:tcPr>
            <w:tcW w:w="5386" w:type="dxa"/>
          </w:tcPr>
          <w:p w14:paraId="40DEF2C5" w14:textId="2D196C02" w:rsidR="003A4F98" w:rsidRPr="004B1889" w:rsidRDefault="003A4F98" w:rsidP="003A4F98">
            <w:pPr>
              <w:jc w:val="both"/>
            </w:pPr>
            <w:r>
              <w:t>Tip for low context cultures :</w:t>
            </w:r>
            <w:r w:rsidRPr="004B1889">
              <w:t>Don’t assume the message is contained in spoken words</w:t>
            </w:r>
            <w:r>
              <w:t xml:space="preserve"> + </w:t>
            </w:r>
            <w:r w:rsidRPr="004B1889">
              <w:t xml:space="preserve">Pay as much attention to what is not said as to what is said </w:t>
            </w:r>
          </w:p>
          <w:p w14:paraId="374CBE7E" w14:textId="77777777" w:rsidR="003A4F98" w:rsidRPr="00752982" w:rsidRDefault="003A4F98" w:rsidP="006F62E9">
            <w:pPr>
              <w:jc w:val="both"/>
              <w:rPr>
                <w:lang w:val="en-GB"/>
              </w:rPr>
            </w:pPr>
          </w:p>
        </w:tc>
        <w:tc>
          <w:tcPr>
            <w:tcW w:w="5388" w:type="dxa"/>
          </w:tcPr>
          <w:p w14:paraId="1634B840" w14:textId="08BC313D" w:rsidR="003A4F98" w:rsidRPr="00DA354E" w:rsidRDefault="003A4F98" w:rsidP="006F62E9">
            <w:pPr>
              <w:jc w:val="both"/>
            </w:pPr>
            <w:r>
              <w:rPr>
                <w:lang w:val="en-GB"/>
              </w:rPr>
              <w:t xml:space="preserve">Tips for high-context cultures: </w:t>
            </w:r>
            <w:r w:rsidRPr="003A4F98">
              <w:t xml:space="preserve">Don’t assume the message extends beyond spoken words </w:t>
            </w:r>
            <w:r>
              <w:t>+</w:t>
            </w:r>
            <w:r w:rsidRPr="003A4F98">
              <w:t xml:space="preserve"> Be especially careful when working with other high-context cultures…contextual cues differ across cultures </w:t>
            </w:r>
          </w:p>
        </w:tc>
      </w:tr>
    </w:tbl>
    <w:p w14:paraId="7970F320" w14:textId="77777777" w:rsidR="003A4F98" w:rsidRDefault="003A4F98" w:rsidP="006F62E9">
      <w:pPr>
        <w:jc w:val="both"/>
        <w:rPr>
          <w:b/>
          <w:bCs/>
          <w:lang w:val="en-US"/>
        </w:rPr>
      </w:pPr>
    </w:p>
    <w:p w14:paraId="2605E1CC" w14:textId="77777777" w:rsidR="00ED217E" w:rsidRDefault="00ED217E" w:rsidP="006F62E9">
      <w:pPr>
        <w:jc w:val="both"/>
        <w:rPr>
          <w:b/>
          <w:bCs/>
          <w:lang w:val="en-US"/>
        </w:rPr>
      </w:pPr>
    </w:p>
    <w:p w14:paraId="7DD16CD5" w14:textId="36B99F8B" w:rsidR="00ED217E" w:rsidRDefault="00ED217E" w:rsidP="0022253A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F679B7D" wp14:editId="272369CC">
            <wp:extent cx="5522395" cy="3028950"/>
            <wp:effectExtent l="0" t="0" r="2540" b="0"/>
            <wp:docPr id="10855392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16" cy="303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CFDB9" w14:textId="61D87110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lastRenderedPageBreak/>
        <w:t>Direct</w:t>
      </w:r>
      <w:r w:rsidR="003A4F98" w:rsidRPr="00A47A86">
        <w:rPr>
          <w:b/>
          <w:bCs/>
          <w:color w:val="0DA0C5"/>
          <w:lang w:val="en-US"/>
        </w:rPr>
        <w:t>/ confrontational</w:t>
      </w:r>
      <w:r w:rsidRPr="00A47A86">
        <w:rPr>
          <w:b/>
          <w:bCs/>
          <w:color w:val="0DA0C5"/>
          <w:lang w:val="en-US"/>
        </w:rPr>
        <w:t xml:space="preserve"> </w:t>
      </w:r>
      <w:r w:rsidRPr="00A47A86">
        <w:rPr>
          <w:b/>
          <w:bCs/>
          <w:color w:val="0DA0C5"/>
          <w:lang w:val="en-US"/>
        </w:rPr>
        <w:tab/>
      </w:r>
      <w:r w:rsidR="006F0FD3" w:rsidRPr="00A47A86">
        <w:rPr>
          <w:b/>
          <w:bCs/>
          <w:color w:val="0DA0C5"/>
          <w:lang w:val="en-US"/>
        </w:rPr>
        <w:t xml:space="preserve">                                                            </w:t>
      </w:r>
      <w:r w:rsidR="00394305" w:rsidRPr="00A47A86">
        <w:rPr>
          <w:b/>
          <w:bCs/>
          <w:color w:val="0DA0C5"/>
          <w:lang w:val="en-US"/>
        </w:rPr>
        <w:t xml:space="preserve">            </w:t>
      </w:r>
      <w:r w:rsidRPr="00A47A86">
        <w:rPr>
          <w:b/>
          <w:bCs/>
          <w:color w:val="0DA0C5"/>
          <w:lang w:val="en-US"/>
        </w:rPr>
        <w:t>Indirect</w:t>
      </w:r>
      <w:r w:rsidR="003A4F98" w:rsidRPr="00A47A86">
        <w:rPr>
          <w:b/>
          <w:bCs/>
          <w:color w:val="0DA0C5"/>
          <w:lang w:val="en-US"/>
        </w:rPr>
        <w:t>/ conflict avoidance</w:t>
      </w:r>
    </w:p>
    <w:p w14:paraId="711E955F" w14:textId="3A331AA5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>___________________________________________________________________________</w:t>
      </w:r>
      <w:r w:rsidR="00DD5FDD" w:rsidRPr="00A47A86">
        <w:rPr>
          <w:b/>
          <w:bCs/>
          <w:color w:val="0DA0C5"/>
          <w:lang w:val="en-US"/>
        </w:rPr>
        <w:t>_______</w:t>
      </w:r>
    </w:p>
    <w:p w14:paraId="3D553E52" w14:textId="7459C6EE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 xml:space="preserve">1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2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3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4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5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6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7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8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9              </w:t>
      </w:r>
      <w:r w:rsidR="00DD5FDD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>10 </w:t>
      </w:r>
    </w:p>
    <w:tbl>
      <w:tblPr>
        <w:tblStyle w:val="Grilledutableau"/>
        <w:tblW w:w="10774" w:type="dxa"/>
        <w:tblInd w:w="-856" w:type="dxa"/>
        <w:tblLook w:val="01E0" w:firstRow="1" w:lastRow="1" w:firstColumn="1" w:lastColumn="1" w:noHBand="0" w:noVBand="0"/>
      </w:tblPr>
      <w:tblGrid>
        <w:gridCol w:w="5388"/>
        <w:gridCol w:w="5386"/>
      </w:tblGrid>
      <w:tr w:rsidR="006F62E9" w:rsidRPr="006F62E9" w14:paraId="25FCC338" w14:textId="77777777" w:rsidTr="00A47A86">
        <w:tc>
          <w:tcPr>
            <w:tcW w:w="5388" w:type="dxa"/>
            <w:shd w:val="clear" w:color="auto" w:fill="D5DCE4" w:themeFill="text2" w:themeFillTint="33"/>
          </w:tcPr>
          <w:p w14:paraId="0A449D58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>Handle conflict in a direct and explicit manner.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0554EC60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>Handle conflict implicitly by avoiding direct confrontations.</w:t>
            </w:r>
          </w:p>
        </w:tc>
      </w:tr>
      <w:tr w:rsidR="006F62E9" w:rsidRPr="006F62E9" w14:paraId="166A5E7A" w14:textId="77777777" w:rsidTr="00366B71">
        <w:tc>
          <w:tcPr>
            <w:tcW w:w="5388" w:type="dxa"/>
          </w:tcPr>
          <w:p w14:paraId="6CD9F27D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>View conflict situations as impersonal issues that need to be approached openly to reach a resolution.</w:t>
            </w:r>
          </w:p>
        </w:tc>
        <w:tc>
          <w:tcPr>
            <w:tcW w:w="5386" w:type="dxa"/>
          </w:tcPr>
          <w:p w14:paraId="003899A1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>View conflictual situations as a threat to personal dignity and/ or integrity.</w:t>
            </w:r>
          </w:p>
        </w:tc>
      </w:tr>
      <w:tr w:rsidR="006F62E9" w:rsidRPr="006F62E9" w14:paraId="3442933D" w14:textId="77777777" w:rsidTr="00A47A86">
        <w:tc>
          <w:tcPr>
            <w:tcW w:w="5388" w:type="dxa"/>
            <w:shd w:val="clear" w:color="auto" w:fill="D5DCE4" w:themeFill="text2" w:themeFillTint="33"/>
          </w:tcPr>
          <w:p w14:paraId="09B72F83" w14:textId="09B3491B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>View conflicts as positive and constructive, seeing open conflict as constructive and beneficial</w:t>
            </w:r>
            <w:r w:rsidR="00E41D4E">
              <w:rPr>
                <w:lang w:val="en-GB"/>
              </w:rPr>
              <w:t xml:space="preserve"> (as long as it is expressed factually). Enjoy debates.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53A6777B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 xml:space="preserve">Prefer passive resistance or the use of informal mediators such as lawyers, arbitrators, colleagues, friends, etc to resolve contentious issues. </w:t>
            </w:r>
          </w:p>
        </w:tc>
      </w:tr>
      <w:tr w:rsidR="006F62E9" w:rsidRPr="006F62E9" w14:paraId="3104CE39" w14:textId="77777777" w:rsidTr="00366B71">
        <w:tc>
          <w:tcPr>
            <w:tcW w:w="5388" w:type="dxa"/>
          </w:tcPr>
          <w:p w14:paraId="79176A3E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>Link direct conflict management with honesty and trustworthiness.</w:t>
            </w:r>
          </w:p>
        </w:tc>
        <w:tc>
          <w:tcPr>
            <w:tcW w:w="5386" w:type="dxa"/>
          </w:tcPr>
          <w:p w14:paraId="1253B99F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GB"/>
              </w:rPr>
            </w:pPr>
            <w:r w:rsidRPr="006F62E9">
              <w:rPr>
                <w:lang w:val="en-GB"/>
              </w:rPr>
              <w:t>See open conflict as detrimental to the parties involved.</w:t>
            </w:r>
          </w:p>
        </w:tc>
      </w:tr>
      <w:tr w:rsidR="00E41CB6" w:rsidRPr="006F62E9" w14:paraId="0E8E5999" w14:textId="77777777" w:rsidTr="00A47A86">
        <w:tc>
          <w:tcPr>
            <w:tcW w:w="5388" w:type="dxa"/>
            <w:shd w:val="clear" w:color="auto" w:fill="D5DCE4" w:themeFill="text2" w:themeFillTint="33"/>
          </w:tcPr>
          <w:p w14:paraId="02A62F28" w14:textId="2A5E5F56" w:rsidR="00E41CB6" w:rsidRPr="006F62E9" w:rsidRDefault="001964F9" w:rsidP="006F62E9">
            <w:pPr>
              <w:jc w:val="both"/>
              <w:rPr>
                <w:lang w:val="en-GB"/>
              </w:rPr>
            </w:pPr>
            <w:r w:rsidRPr="001964F9">
              <w:t>U</w:t>
            </w:r>
            <w:r w:rsidR="00E41D4E">
              <w:t>se multiple u</w:t>
            </w:r>
            <w:r w:rsidRPr="001964F9">
              <w:t>pgraders</w:t>
            </w:r>
            <w:r w:rsidR="00E41D4E">
              <w:t xml:space="preserve"> in order </w:t>
            </w:r>
            <w:r w:rsidRPr="001964F9">
              <w:t xml:space="preserve">to strengthen </w:t>
            </w:r>
            <w:r w:rsidR="00E41D4E">
              <w:t>their</w:t>
            </w:r>
            <w:r w:rsidRPr="001964F9">
              <w:t xml:space="preserve"> disagreement, such as totally, completely, absolutely.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3C6BCC6E" w14:textId="6D8AC317" w:rsidR="00E41CB6" w:rsidRPr="006F62E9" w:rsidRDefault="00E41CB6" w:rsidP="006F62E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Use downgraders: mayb</w:t>
            </w:r>
            <w:r w:rsidR="00366B71">
              <w:rPr>
                <w:lang w:val="en-GB"/>
              </w:rPr>
              <w:t>e</w:t>
            </w:r>
            <w:r>
              <w:rPr>
                <w:lang w:val="en-GB"/>
              </w:rPr>
              <w:t xml:space="preserve">, perhaps, </w:t>
            </w:r>
            <w:r w:rsidR="00366B71">
              <w:rPr>
                <w:lang w:val="en-GB"/>
              </w:rPr>
              <w:t xml:space="preserve">a little bit, partially, </w:t>
            </w:r>
            <w:r>
              <w:rPr>
                <w:lang w:val="en-GB"/>
              </w:rPr>
              <w:t>what do you think? I don’t know</w:t>
            </w:r>
            <w:r w:rsidR="00317DD7" w:rsidRPr="00317DD7">
              <w:t>—</w:t>
            </w:r>
            <w:r w:rsidR="00366B71">
              <w:t xml:space="preserve">to </w:t>
            </w:r>
            <w:r w:rsidR="00317DD7" w:rsidRPr="00317DD7">
              <w:t>soften the disagreement.</w:t>
            </w:r>
            <w:r w:rsidR="00317DD7">
              <w:t xml:space="preserve"> </w:t>
            </w:r>
          </w:p>
        </w:tc>
      </w:tr>
      <w:tr w:rsidR="003A4F98" w:rsidRPr="006F62E9" w14:paraId="2CDFE223" w14:textId="77777777" w:rsidTr="00366B71">
        <w:tc>
          <w:tcPr>
            <w:tcW w:w="5388" w:type="dxa"/>
          </w:tcPr>
          <w:p w14:paraId="3CF312B3" w14:textId="77777777" w:rsidR="003A4F98" w:rsidRPr="003A4F98" w:rsidRDefault="003A4F98" w:rsidP="003A4F98">
            <w:pPr>
              <w:jc w:val="both"/>
              <w:rPr>
                <w:b/>
              </w:rPr>
            </w:pPr>
            <w:r w:rsidRPr="003A4F98">
              <w:rPr>
                <w:b/>
              </w:rPr>
              <w:t xml:space="preserve">In a Confrontational culture: </w:t>
            </w:r>
          </w:p>
          <w:p w14:paraId="54213F68" w14:textId="77777777" w:rsidR="003A4F98" w:rsidRPr="003A4F98" w:rsidRDefault="003A4F98" w:rsidP="003A4F98">
            <w:pPr>
              <w:jc w:val="both"/>
            </w:pPr>
            <w:r w:rsidRPr="003A4F98">
              <w:t xml:space="preserve"> •  Don’t assume that disagreement with an idea means disapproval of you</w:t>
            </w:r>
          </w:p>
          <w:p w14:paraId="1A8A6594" w14:textId="7CBC1365" w:rsidR="003A4F98" w:rsidRPr="003A4F98" w:rsidRDefault="003A4F98" w:rsidP="003A4F98">
            <w:pPr>
              <w:jc w:val="both"/>
            </w:pPr>
            <w:r w:rsidRPr="003A4F98">
              <w:t xml:space="preserve"> •  View disagreement as</w:t>
            </w:r>
            <w:r w:rsidR="00366B71">
              <w:t xml:space="preserve"> an </w:t>
            </w:r>
            <w:r w:rsidRPr="003A4F98">
              <w:t>indication of interest in a topic</w:t>
            </w:r>
          </w:p>
          <w:p w14:paraId="4A67AEB7" w14:textId="77777777" w:rsidR="003A4F98" w:rsidRPr="003A4F98" w:rsidRDefault="003A4F98" w:rsidP="003A4F98">
            <w:pPr>
              <w:jc w:val="both"/>
            </w:pPr>
            <w:r w:rsidRPr="003A4F98">
              <w:t xml:space="preserve"> •  Distinguish emotional expressiveness from confrontation – speaking with passion is not the same as disagreeing </w:t>
            </w:r>
          </w:p>
          <w:p w14:paraId="2F4369A1" w14:textId="129166E5" w:rsidR="003A4F98" w:rsidRPr="00366B71" w:rsidRDefault="003A4F98" w:rsidP="006F62E9">
            <w:pPr>
              <w:jc w:val="both"/>
            </w:pPr>
            <w:r w:rsidRPr="003A4F98">
              <w:t xml:space="preserve">•  Don’t mimic a confrontational style </w:t>
            </w:r>
          </w:p>
        </w:tc>
        <w:tc>
          <w:tcPr>
            <w:tcW w:w="5386" w:type="dxa"/>
          </w:tcPr>
          <w:p w14:paraId="320C36DA" w14:textId="77777777" w:rsidR="003A4F98" w:rsidRPr="003A4F98" w:rsidRDefault="003A4F98" w:rsidP="003A4F98">
            <w:pPr>
              <w:jc w:val="both"/>
              <w:rPr>
                <w:b/>
              </w:rPr>
            </w:pPr>
            <w:r w:rsidRPr="003A4F98">
              <w:rPr>
                <w:b/>
              </w:rPr>
              <w:t xml:space="preserve">In a Avoids Conflict culture:  </w:t>
            </w:r>
          </w:p>
          <w:p w14:paraId="19A125CF" w14:textId="77777777" w:rsidR="003A4F98" w:rsidRPr="003A4F98" w:rsidRDefault="003A4F98" w:rsidP="003A4F98">
            <w:pPr>
              <w:jc w:val="both"/>
            </w:pPr>
            <w:r w:rsidRPr="003A4F98">
              <w:t xml:space="preserve">•  Connect with team members prior to meetings so that disagreement can be expressed 1-on-1 </w:t>
            </w:r>
          </w:p>
          <w:p w14:paraId="48382492" w14:textId="7D29ABDF" w:rsidR="003A4F98" w:rsidRPr="003A4F98" w:rsidRDefault="003A4F98" w:rsidP="006F62E9">
            <w:pPr>
              <w:jc w:val="both"/>
            </w:pPr>
            <w:r w:rsidRPr="003A4F98">
              <w:t xml:space="preserve">•  Use multiple downgraders… (Maybe, perhaps, I don’t know, what do you think?) </w:t>
            </w:r>
          </w:p>
        </w:tc>
      </w:tr>
    </w:tbl>
    <w:p w14:paraId="206822CC" w14:textId="77777777" w:rsidR="006F62E9" w:rsidRPr="006F62E9" w:rsidRDefault="006F62E9" w:rsidP="006F62E9">
      <w:pPr>
        <w:jc w:val="both"/>
        <w:rPr>
          <w:lang w:val="en-US"/>
        </w:rPr>
      </w:pPr>
    </w:p>
    <w:p w14:paraId="3A4D4105" w14:textId="595015E4" w:rsidR="00ED217E" w:rsidRDefault="00ED217E" w:rsidP="00366B71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63CF3D1" wp14:editId="2DB6CFD6">
            <wp:extent cx="4130926" cy="3683000"/>
            <wp:effectExtent l="0" t="0" r="3175" b="0"/>
            <wp:docPr id="121910085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561" cy="372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BA787" w14:textId="153AB25C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lastRenderedPageBreak/>
        <w:t xml:space="preserve">Expressive </w:t>
      </w:r>
      <w:r w:rsidRPr="00A47A86">
        <w:rPr>
          <w:b/>
          <w:bCs/>
          <w:color w:val="0DA0C5"/>
          <w:lang w:val="en-US"/>
        </w:rPr>
        <w:tab/>
      </w:r>
      <w:r w:rsidR="006F0FD3" w:rsidRPr="00A47A86">
        <w:rPr>
          <w:b/>
          <w:bCs/>
          <w:color w:val="0DA0C5"/>
          <w:lang w:val="en-US"/>
        </w:rPr>
        <w:t xml:space="preserve">                                                                                                          </w:t>
      </w:r>
      <w:r w:rsidR="00394305" w:rsidRPr="00A47A86">
        <w:rPr>
          <w:b/>
          <w:bCs/>
          <w:color w:val="0DA0C5"/>
          <w:lang w:val="en-US"/>
        </w:rPr>
        <w:t xml:space="preserve">                               </w:t>
      </w:r>
      <w:r w:rsidR="006F0FD3" w:rsidRPr="00A47A86">
        <w:rPr>
          <w:b/>
          <w:bCs/>
          <w:color w:val="0DA0C5"/>
          <w:lang w:val="en-US"/>
        </w:rPr>
        <w:t>Neutral</w:t>
      </w:r>
    </w:p>
    <w:p w14:paraId="1826C175" w14:textId="0ECBBB36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>___________________________________________________________________________</w:t>
      </w:r>
      <w:r w:rsidR="00394305" w:rsidRPr="00A47A86">
        <w:rPr>
          <w:b/>
          <w:bCs/>
          <w:color w:val="0DA0C5"/>
          <w:lang w:val="en-US"/>
        </w:rPr>
        <w:t>_______</w:t>
      </w:r>
    </w:p>
    <w:p w14:paraId="21D8700F" w14:textId="55E32109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 xml:space="preserve">1              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2   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3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4 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5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6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7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8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9</w:t>
      </w:r>
      <w:r w:rsidR="00394305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10 </w:t>
      </w:r>
    </w:p>
    <w:tbl>
      <w:tblPr>
        <w:tblStyle w:val="Grilledutableau"/>
        <w:tblW w:w="10774" w:type="dxa"/>
        <w:tblInd w:w="-856" w:type="dxa"/>
        <w:tblLook w:val="01E0" w:firstRow="1" w:lastRow="1" w:firstColumn="1" w:lastColumn="1" w:noHBand="0" w:noVBand="0"/>
      </w:tblPr>
      <w:tblGrid>
        <w:gridCol w:w="5387"/>
        <w:gridCol w:w="5387"/>
      </w:tblGrid>
      <w:tr w:rsidR="006F62E9" w:rsidRPr="006F62E9" w14:paraId="179C8EF5" w14:textId="77777777" w:rsidTr="00A47A86">
        <w:tc>
          <w:tcPr>
            <w:tcW w:w="5387" w:type="dxa"/>
            <w:shd w:val="clear" w:color="auto" w:fill="D5DCE4" w:themeFill="text2" w:themeFillTint="33"/>
          </w:tcPr>
          <w:p w14:paraId="074FBF07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Value demonstrative expression in the workplace</w:t>
            </w:r>
          </w:p>
        </w:tc>
        <w:tc>
          <w:tcPr>
            <w:tcW w:w="5387" w:type="dxa"/>
            <w:shd w:val="clear" w:color="auto" w:fill="D5DCE4" w:themeFill="text2" w:themeFillTint="33"/>
          </w:tcPr>
          <w:p w14:paraId="19601F46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Value factual, objective and pragmatic exchanges of information.</w:t>
            </w:r>
          </w:p>
        </w:tc>
      </w:tr>
      <w:tr w:rsidR="006F62E9" w:rsidRPr="006F62E9" w14:paraId="159DD87C" w14:textId="77777777" w:rsidTr="0022253A">
        <w:tc>
          <w:tcPr>
            <w:tcW w:w="5387" w:type="dxa"/>
          </w:tcPr>
          <w:p w14:paraId="6C250E44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View expression and expressiveness as playing an integral role in persuasion of colleagues.</w:t>
            </w:r>
          </w:p>
        </w:tc>
        <w:tc>
          <w:tcPr>
            <w:tcW w:w="5387" w:type="dxa"/>
          </w:tcPr>
          <w:p w14:paraId="64A1288F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See communication as issue centered, impersonal and goal-oriented.</w:t>
            </w:r>
          </w:p>
        </w:tc>
      </w:tr>
      <w:tr w:rsidR="006F62E9" w:rsidRPr="006F62E9" w14:paraId="46AA7211" w14:textId="77777777" w:rsidTr="00A47A86">
        <w:tc>
          <w:tcPr>
            <w:tcW w:w="5387" w:type="dxa"/>
            <w:shd w:val="clear" w:color="auto" w:fill="D5DCE4" w:themeFill="text2" w:themeFillTint="33"/>
          </w:tcPr>
          <w:p w14:paraId="6386BB0D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Expect positive and negative emotions to run high in the workplace.</w:t>
            </w:r>
          </w:p>
        </w:tc>
        <w:tc>
          <w:tcPr>
            <w:tcW w:w="5387" w:type="dxa"/>
            <w:shd w:val="clear" w:color="auto" w:fill="D5DCE4" w:themeFill="text2" w:themeFillTint="33"/>
          </w:tcPr>
          <w:p w14:paraId="42C2CFCB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Prefer an emotionally detached way of presenting information as a method of persuasion.</w:t>
            </w:r>
          </w:p>
        </w:tc>
      </w:tr>
      <w:tr w:rsidR="006F62E9" w:rsidRPr="006F62E9" w14:paraId="326984E4" w14:textId="77777777" w:rsidTr="0022253A">
        <w:tc>
          <w:tcPr>
            <w:tcW w:w="5387" w:type="dxa"/>
          </w:tcPr>
          <w:p w14:paraId="13E6CF6B" w14:textId="4015FFDF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 xml:space="preserve">Be quite animated in your use of words and body language. </w:t>
            </w:r>
          </w:p>
        </w:tc>
        <w:tc>
          <w:tcPr>
            <w:tcW w:w="5387" w:type="dxa"/>
          </w:tcPr>
          <w:p w14:paraId="18AFFC2A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Doubt professionalism and credibility of colleagues who are emotionally expressive.</w:t>
            </w:r>
          </w:p>
        </w:tc>
      </w:tr>
      <w:tr w:rsidR="006F62E9" w:rsidRPr="006F62E9" w14:paraId="6E536174" w14:textId="77777777" w:rsidTr="00A47A86">
        <w:tc>
          <w:tcPr>
            <w:tcW w:w="5387" w:type="dxa"/>
            <w:shd w:val="clear" w:color="auto" w:fill="D5DCE4" w:themeFill="text2" w:themeFillTint="33"/>
          </w:tcPr>
          <w:p w14:paraId="151BEA0F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 xml:space="preserve">Evaluate the credibility and trustworthiness of coworkers and business partners based on their display of human qualities. </w:t>
            </w:r>
          </w:p>
        </w:tc>
        <w:tc>
          <w:tcPr>
            <w:tcW w:w="5387" w:type="dxa"/>
            <w:shd w:val="clear" w:color="auto" w:fill="D5DCE4" w:themeFill="text2" w:themeFillTint="33"/>
          </w:tcPr>
          <w:p w14:paraId="6AEF0302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View work relationships as being different from social relationships, and therefore evaluate colleagues on their direct and measurable contribution to the business.</w:t>
            </w:r>
          </w:p>
        </w:tc>
      </w:tr>
      <w:tr w:rsidR="006B7B4B" w:rsidRPr="006F62E9" w14:paraId="355A7BA4" w14:textId="77777777" w:rsidTr="0022253A">
        <w:tc>
          <w:tcPr>
            <w:tcW w:w="5387" w:type="dxa"/>
          </w:tcPr>
          <w:p w14:paraId="0DEFA16B" w14:textId="4464645A" w:rsidR="006B7B4B" w:rsidRPr="006F62E9" w:rsidRDefault="006B7B4B" w:rsidP="006F62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Display and accentuation of emotions are key components of the communication process. Emotional connectedness is essential (sensation of having CONNECTED)</w:t>
            </w:r>
            <w:r w:rsidR="00730493">
              <w:rPr>
                <w:lang w:val="en-US"/>
              </w:rPr>
              <w:t xml:space="preserve">. </w:t>
            </w:r>
            <w:r>
              <w:rPr>
                <w:lang w:val="en-US"/>
              </w:rPr>
              <w:t>Expressiveness may be raised to the level of an art form</w:t>
            </w:r>
            <w:r w:rsidR="0022253A">
              <w:rPr>
                <w:lang w:val="en-US"/>
              </w:rPr>
              <w:t>.</w:t>
            </w:r>
          </w:p>
        </w:tc>
        <w:tc>
          <w:tcPr>
            <w:tcW w:w="5387" w:type="dxa"/>
          </w:tcPr>
          <w:p w14:paraId="3D104CAE" w14:textId="32C06555" w:rsidR="006B7B4B" w:rsidRPr="006F62E9" w:rsidRDefault="006B7B4B" w:rsidP="006F62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is said is placed above how it is said. Attention to detail and accuracy and a dispassionate, objective style are expected- cf </w:t>
            </w:r>
            <w:r w:rsidR="0022253A">
              <w:rPr>
                <w:lang w:val="en-US"/>
              </w:rPr>
              <w:t xml:space="preserve">British </w:t>
            </w:r>
            <w:r>
              <w:rPr>
                <w:lang w:val="en-US"/>
              </w:rPr>
              <w:t xml:space="preserve">keeping a stiff upperlip- </w:t>
            </w:r>
            <w:r w:rsidR="0022253A">
              <w:rPr>
                <w:lang w:val="en-US"/>
              </w:rPr>
              <w:t>or German S</w:t>
            </w:r>
            <w:r>
              <w:rPr>
                <w:lang w:val="en-US"/>
              </w:rPr>
              <w:t>achlichkeit</w:t>
            </w:r>
            <w:r w:rsidR="0022253A">
              <w:rPr>
                <w:lang w:val="en-US"/>
              </w:rPr>
              <w:t>.</w:t>
            </w:r>
          </w:p>
        </w:tc>
      </w:tr>
    </w:tbl>
    <w:p w14:paraId="0FCE978E" w14:textId="77777777" w:rsidR="006F62E9" w:rsidRPr="006F62E9" w:rsidRDefault="006F62E9" w:rsidP="006F62E9">
      <w:pPr>
        <w:jc w:val="both"/>
        <w:rPr>
          <w:lang w:val="en-US"/>
        </w:rPr>
      </w:pPr>
    </w:p>
    <w:p w14:paraId="0398D22B" w14:textId="77E86338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 xml:space="preserve">Formal </w:t>
      </w:r>
      <w:r w:rsidRPr="00A47A86">
        <w:rPr>
          <w:b/>
          <w:bCs/>
          <w:color w:val="0DA0C5"/>
          <w:lang w:val="en-US"/>
        </w:rPr>
        <w:tab/>
      </w:r>
      <w:r w:rsidR="006F0FD3" w:rsidRPr="00A47A86">
        <w:rPr>
          <w:b/>
          <w:bCs/>
          <w:color w:val="0DA0C5"/>
          <w:lang w:val="en-US"/>
        </w:rPr>
        <w:t xml:space="preserve">                                                                                                                           </w:t>
      </w:r>
      <w:r w:rsidR="00770AFC" w:rsidRPr="00A47A86">
        <w:rPr>
          <w:b/>
          <w:bCs/>
          <w:color w:val="0DA0C5"/>
          <w:lang w:val="en-US"/>
        </w:rPr>
        <w:t xml:space="preserve">                         </w:t>
      </w:r>
      <w:r w:rsidR="006F0FD3" w:rsidRPr="00A47A86">
        <w:rPr>
          <w:b/>
          <w:bCs/>
          <w:color w:val="0DA0C5"/>
          <w:lang w:val="en-US"/>
        </w:rPr>
        <w:t xml:space="preserve"> </w:t>
      </w:r>
      <w:r w:rsidRPr="00A47A86">
        <w:rPr>
          <w:b/>
          <w:bCs/>
          <w:color w:val="0DA0C5"/>
          <w:lang w:val="en-US"/>
        </w:rPr>
        <w:t>Informal</w:t>
      </w:r>
    </w:p>
    <w:p w14:paraId="18C37C36" w14:textId="2ADD66EF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>___________________________________________________________________________</w:t>
      </w:r>
      <w:r w:rsidR="00770AFC" w:rsidRPr="00A47A86">
        <w:rPr>
          <w:b/>
          <w:bCs/>
          <w:color w:val="0DA0C5"/>
          <w:lang w:val="en-US"/>
        </w:rPr>
        <w:t>_______</w:t>
      </w:r>
    </w:p>
    <w:p w14:paraId="1E80ED20" w14:textId="55C9A18E" w:rsidR="006F62E9" w:rsidRPr="00A47A86" w:rsidRDefault="006F62E9" w:rsidP="006F62E9">
      <w:pPr>
        <w:jc w:val="both"/>
        <w:rPr>
          <w:b/>
          <w:bCs/>
          <w:color w:val="0DA0C5"/>
          <w:lang w:val="en-US"/>
        </w:rPr>
      </w:pPr>
      <w:r w:rsidRPr="00A47A86">
        <w:rPr>
          <w:b/>
          <w:bCs/>
          <w:color w:val="0DA0C5"/>
          <w:lang w:val="en-US"/>
        </w:rPr>
        <w:t xml:space="preserve">1             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2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3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4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5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6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7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8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9</w:t>
      </w:r>
      <w:r w:rsidR="00770AFC" w:rsidRPr="00A47A86">
        <w:rPr>
          <w:b/>
          <w:bCs/>
          <w:color w:val="0DA0C5"/>
          <w:lang w:val="en-US"/>
        </w:rPr>
        <w:t xml:space="preserve">   </w:t>
      </w:r>
      <w:r w:rsidRPr="00A47A86">
        <w:rPr>
          <w:b/>
          <w:bCs/>
          <w:color w:val="0DA0C5"/>
          <w:lang w:val="en-US"/>
        </w:rPr>
        <w:t xml:space="preserve">              10 </w:t>
      </w:r>
      <w:r w:rsidRPr="00A47A86">
        <w:rPr>
          <w:color w:val="0DA0C5"/>
          <w:lang w:val="en-US"/>
        </w:rPr>
        <w:t> </w:t>
      </w:r>
    </w:p>
    <w:tbl>
      <w:tblPr>
        <w:tblStyle w:val="Grilledutableau"/>
        <w:tblW w:w="10774" w:type="dxa"/>
        <w:tblInd w:w="-856" w:type="dxa"/>
        <w:tblLook w:val="01E0" w:firstRow="1" w:lastRow="1" w:firstColumn="1" w:lastColumn="1" w:noHBand="0" w:noVBand="0"/>
      </w:tblPr>
      <w:tblGrid>
        <w:gridCol w:w="5386"/>
        <w:gridCol w:w="5388"/>
      </w:tblGrid>
      <w:tr w:rsidR="006F62E9" w:rsidRPr="006F62E9" w14:paraId="49284AAF" w14:textId="77777777" w:rsidTr="00A47A86">
        <w:tc>
          <w:tcPr>
            <w:tcW w:w="5386" w:type="dxa"/>
            <w:shd w:val="clear" w:color="auto" w:fill="D5DCE4" w:themeFill="text2" w:themeFillTint="33"/>
          </w:tcPr>
          <w:p w14:paraId="53159F5E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Observe specific rules of etiquette in the workplace and business situations, specifically with superiors.</w:t>
            </w:r>
          </w:p>
        </w:tc>
        <w:tc>
          <w:tcPr>
            <w:tcW w:w="5388" w:type="dxa"/>
            <w:shd w:val="clear" w:color="auto" w:fill="D5DCE4" w:themeFill="text2" w:themeFillTint="33"/>
          </w:tcPr>
          <w:p w14:paraId="7F8FC292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Value casual, relaxed and friendly conduct in the workplace.</w:t>
            </w:r>
          </w:p>
        </w:tc>
      </w:tr>
      <w:tr w:rsidR="006F62E9" w:rsidRPr="006F62E9" w14:paraId="6B050AC7" w14:textId="77777777" w:rsidTr="00F158CA">
        <w:tc>
          <w:tcPr>
            <w:tcW w:w="5386" w:type="dxa"/>
          </w:tcPr>
          <w:p w14:paraId="29C5E7EE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Expect subordinates to be mindful of etiquette when interacting with them.</w:t>
            </w:r>
          </w:p>
        </w:tc>
        <w:tc>
          <w:tcPr>
            <w:tcW w:w="5388" w:type="dxa"/>
          </w:tcPr>
          <w:p w14:paraId="285F4C76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View etiquette, decorum and tradition as obstacles in developing relationships.</w:t>
            </w:r>
          </w:p>
        </w:tc>
      </w:tr>
      <w:tr w:rsidR="006F62E9" w:rsidRPr="006F62E9" w14:paraId="39FEF4FB" w14:textId="77777777" w:rsidTr="00A47A86">
        <w:tc>
          <w:tcPr>
            <w:tcW w:w="5386" w:type="dxa"/>
            <w:shd w:val="clear" w:color="auto" w:fill="D5DCE4" w:themeFill="text2" w:themeFillTint="33"/>
          </w:tcPr>
          <w:p w14:paraId="3B7B722C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 xml:space="preserve">View formalities and social conventions as a conduit to effective communication and the development of business and social relationships. </w:t>
            </w:r>
          </w:p>
        </w:tc>
        <w:tc>
          <w:tcPr>
            <w:tcW w:w="5388" w:type="dxa"/>
            <w:shd w:val="clear" w:color="auto" w:fill="D5DCE4" w:themeFill="text2" w:themeFillTint="33"/>
          </w:tcPr>
          <w:p w14:paraId="09D7E1D2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 xml:space="preserve">Link credibility and trustworthiness to a casual and friendly style. </w:t>
            </w:r>
          </w:p>
        </w:tc>
      </w:tr>
      <w:tr w:rsidR="006F62E9" w:rsidRPr="006F62E9" w14:paraId="4123F87B" w14:textId="77777777" w:rsidTr="00F158CA">
        <w:tc>
          <w:tcPr>
            <w:tcW w:w="5386" w:type="dxa"/>
          </w:tcPr>
          <w:p w14:paraId="050903CC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Judge colleagues with a more informal communication style as unprofessional and lacking in social graces.</w:t>
            </w:r>
          </w:p>
        </w:tc>
        <w:tc>
          <w:tcPr>
            <w:tcW w:w="5388" w:type="dxa"/>
          </w:tcPr>
          <w:p w14:paraId="45E36EF1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View formalities and social conventions as barriers to effective communication.</w:t>
            </w:r>
          </w:p>
        </w:tc>
      </w:tr>
      <w:tr w:rsidR="006F62E9" w:rsidRPr="006F62E9" w14:paraId="6EE15C8F" w14:textId="77777777" w:rsidTr="00A47A86">
        <w:tc>
          <w:tcPr>
            <w:tcW w:w="5386" w:type="dxa"/>
            <w:shd w:val="clear" w:color="auto" w:fill="D5DCE4" w:themeFill="text2" w:themeFillTint="33"/>
          </w:tcPr>
          <w:p w14:paraId="1C0053DD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 xml:space="preserve">Be keenly aware of the social structures in which you operate. </w:t>
            </w:r>
          </w:p>
        </w:tc>
        <w:tc>
          <w:tcPr>
            <w:tcW w:w="5388" w:type="dxa"/>
            <w:shd w:val="clear" w:color="auto" w:fill="D5DCE4" w:themeFill="text2" w:themeFillTint="33"/>
          </w:tcPr>
          <w:p w14:paraId="539DFC35" w14:textId="77777777" w:rsidR="006F62E9" w:rsidRPr="006F62E9" w:rsidRDefault="006F62E9" w:rsidP="006F62E9">
            <w:pPr>
              <w:spacing w:after="160" w:line="259" w:lineRule="auto"/>
              <w:jc w:val="both"/>
              <w:rPr>
                <w:lang w:val="en-US"/>
              </w:rPr>
            </w:pPr>
            <w:r w:rsidRPr="006F62E9">
              <w:rPr>
                <w:lang w:val="en-US"/>
              </w:rPr>
              <w:t>Be uncomfortable in informal situations and excluded by those who follow rules and social conventions.</w:t>
            </w:r>
          </w:p>
        </w:tc>
      </w:tr>
      <w:tr w:rsidR="00752982" w:rsidRPr="006F62E9" w14:paraId="2A1E3E01" w14:textId="77777777" w:rsidTr="00F158CA">
        <w:trPr>
          <w:trHeight w:val="572"/>
        </w:trPr>
        <w:tc>
          <w:tcPr>
            <w:tcW w:w="5386" w:type="dxa"/>
          </w:tcPr>
          <w:p w14:paraId="7CA51AFC" w14:textId="24E373F0" w:rsidR="00752982" w:rsidRPr="006F62E9" w:rsidRDefault="00F158CA" w:rsidP="006F62E9">
            <w:pPr>
              <w:jc w:val="both"/>
              <w:rPr>
                <w:lang w:val="en-US"/>
              </w:rPr>
            </w:pPr>
            <w:r>
              <w:t>Status symbols (car, dress, accessories) are cues to others about your rank in the society.</w:t>
            </w:r>
          </w:p>
        </w:tc>
        <w:tc>
          <w:tcPr>
            <w:tcW w:w="5388" w:type="dxa"/>
          </w:tcPr>
          <w:p w14:paraId="65092005" w14:textId="325BE0CA" w:rsidR="00752982" w:rsidRPr="006F62E9" w:rsidRDefault="00F158CA" w:rsidP="006F62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Status symbols, titles &amp; honorifics, and social etiquette are less important</w:t>
            </w:r>
          </w:p>
        </w:tc>
      </w:tr>
    </w:tbl>
    <w:p w14:paraId="1D19C7FF" w14:textId="77777777" w:rsidR="006F62E9" w:rsidRDefault="006F62E9" w:rsidP="004B1889">
      <w:pPr>
        <w:jc w:val="both"/>
      </w:pPr>
    </w:p>
    <w:p w14:paraId="1ED94963" w14:textId="54131238" w:rsidR="004B1889" w:rsidRDefault="004B1889" w:rsidP="004B1889">
      <w:pPr>
        <w:shd w:val="clear" w:color="auto" w:fill="FFFFFF"/>
        <w:spacing w:after="0" w:line="240" w:lineRule="auto"/>
        <w:jc w:val="both"/>
        <w:rPr>
          <w:rFonts w:ascii="Lato" w:hAnsi="Lato"/>
        </w:rPr>
      </w:pPr>
    </w:p>
    <w:sectPr w:rsidR="004B1889" w:rsidSect="003B1F99">
      <w:pgSz w:w="11906" w:h="16838"/>
      <w:pgMar w:top="1417" w:right="1417" w:bottom="1417" w:left="1417" w:header="708" w:footer="708" w:gutter="0"/>
      <w:pgBorders w:offsetFrom="page">
        <w:top w:val="single" w:sz="4" w:space="24" w:color="0DA0C5"/>
        <w:left w:val="single" w:sz="4" w:space="24" w:color="0DA0C5"/>
        <w:bottom w:val="single" w:sz="4" w:space="24" w:color="0DA0C5"/>
        <w:right w:val="single" w:sz="4" w:space="24" w:color="0DA0C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20FE"/>
    <w:multiLevelType w:val="hybridMultilevel"/>
    <w:tmpl w:val="B2EA45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1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9"/>
    <w:rsid w:val="00030561"/>
    <w:rsid w:val="000F6709"/>
    <w:rsid w:val="0012116B"/>
    <w:rsid w:val="00127D01"/>
    <w:rsid w:val="00182616"/>
    <w:rsid w:val="001964F9"/>
    <w:rsid w:val="00220CED"/>
    <w:rsid w:val="00221219"/>
    <w:rsid w:val="0022253A"/>
    <w:rsid w:val="002D2191"/>
    <w:rsid w:val="00317DD7"/>
    <w:rsid w:val="003373EB"/>
    <w:rsid w:val="00366B71"/>
    <w:rsid w:val="00367AFA"/>
    <w:rsid w:val="00390CE8"/>
    <w:rsid w:val="00394305"/>
    <w:rsid w:val="003A4F98"/>
    <w:rsid w:val="003B1F99"/>
    <w:rsid w:val="003B607E"/>
    <w:rsid w:val="0047365B"/>
    <w:rsid w:val="004772B2"/>
    <w:rsid w:val="004B1889"/>
    <w:rsid w:val="00573EBF"/>
    <w:rsid w:val="005F57C7"/>
    <w:rsid w:val="005F7249"/>
    <w:rsid w:val="00600705"/>
    <w:rsid w:val="006529D9"/>
    <w:rsid w:val="006A7147"/>
    <w:rsid w:val="006B7B4B"/>
    <w:rsid w:val="006F0FD3"/>
    <w:rsid w:val="006F62E9"/>
    <w:rsid w:val="007003D0"/>
    <w:rsid w:val="00730493"/>
    <w:rsid w:val="00752982"/>
    <w:rsid w:val="00754A79"/>
    <w:rsid w:val="00770AFC"/>
    <w:rsid w:val="008E5A88"/>
    <w:rsid w:val="009071A9"/>
    <w:rsid w:val="0097127A"/>
    <w:rsid w:val="009C6CFB"/>
    <w:rsid w:val="00A47A86"/>
    <w:rsid w:val="00A8078B"/>
    <w:rsid w:val="00AB0822"/>
    <w:rsid w:val="00AE21A6"/>
    <w:rsid w:val="00B41A70"/>
    <w:rsid w:val="00BD761F"/>
    <w:rsid w:val="00BF679A"/>
    <w:rsid w:val="00C06EA8"/>
    <w:rsid w:val="00C525B9"/>
    <w:rsid w:val="00C66BC5"/>
    <w:rsid w:val="00C930E3"/>
    <w:rsid w:val="00CA1545"/>
    <w:rsid w:val="00D65FD6"/>
    <w:rsid w:val="00DA354E"/>
    <w:rsid w:val="00DC49D3"/>
    <w:rsid w:val="00DD5FDD"/>
    <w:rsid w:val="00E2220E"/>
    <w:rsid w:val="00E41CB6"/>
    <w:rsid w:val="00E41D4E"/>
    <w:rsid w:val="00EB771C"/>
    <w:rsid w:val="00ED217E"/>
    <w:rsid w:val="00EE4B20"/>
    <w:rsid w:val="00F158CA"/>
    <w:rsid w:val="00F31D64"/>
    <w:rsid w:val="00F413C2"/>
    <w:rsid w:val="00F7391E"/>
    <w:rsid w:val="00F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03B7"/>
  <w15:chartTrackingRefBased/>
  <w15:docId w15:val="{5CFE228C-E194-4802-A45A-FA5EA79E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7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0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71A9"/>
    <w:rPr>
      <w:b/>
      <w:bCs/>
    </w:rPr>
  </w:style>
  <w:style w:type="table" w:styleId="Grilledutableau">
    <w:name w:val="Table Grid"/>
    <w:basedOn w:val="TableauNormal"/>
    <w:uiPriority w:val="39"/>
    <w:rsid w:val="0012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h/url?sa=i&amp;rct=j&amp;q=&amp;esrc=s&amp;source=images&amp;cd=&amp;cad=rja&amp;uact=8&amp;ved=2ahUKEwjPlKGhitHdAhUILewKHcPvDIoQjRx6BAgBEAU&amp;url=http://cdtermpaperxwtd.getfiredband.us/cooperating-and-communicating-across-cultures.html&amp;psig=AOvVaw0Xg4apfougqWc-ihMWR0ET&amp;ust=15377904954505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Bredin</dc:creator>
  <cp:keywords/>
  <dc:description/>
  <cp:lastModifiedBy>Alexandra Brodin</cp:lastModifiedBy>
  <cp:revision>45</cp:revision>
  <dcterms:created xsi:type="dcterms:W3CDTF">2023-10-28T16:12:00Z</dcterms:created>
  <dcterms:modified xsi:type="dcterms:W3CDTF">2023-11-05T15:04:00Z</dcterms:modified>
</cp:coreProperties>
</file>